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9D0A7">
      <w:pPr>
        <w:spacing w:line="360" w:lineRule="auto"/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  <w:t>：2024年湖北医药学院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eastAsia="zh-CN"/>
        </w:rPr>
        <w:t>研究阐释党的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  <w:t>二十届三中全会精神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eastAsia="zh-CN"/>
        </w:rPr>
        <w:t>专项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  <w:t>课题立项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/>
        </w:rPr>
        <w:t>一览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  <w:t>表</w:t>
      </w:r>
    </w:p>
    <w:tbl>
      <w:tblPr>
        <w:tblStyle w:val="2"/>
        <w:tblW w:w="493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169"/>
        <w:gridCol w:w="3999"/>
        <w:gridCol w:w="1579"/>
      </w:tblGrid>
      <w:tr w14:paraId="0799F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2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3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1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E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课题类型</w:t>
            </w:r>
          </w:p>
        </w:tc>
      </w:tr>
      <w:tr w14:paraId="34A69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D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RWS2024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9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解沛灏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8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新时代医学生积极社会心态的培育研究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C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重点项目</w:t>
            </w:r>
          </w:p>
        </w:tc>
      </w:tr>
      <w:tr w14:paraId="1BA49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C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RWS202402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2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刘慧娴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1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自媒体时代大学生网络文明素养</w:t>
            </w:r>
          </w:p>
          <w:p w14:paraId="4C5C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培育路径研究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4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重点项目</w:t>
            </w:r>
          </w:p>
        </w:tc>
      </w:tr>
      <w:tr w14:paraId="22673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7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RWS20240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2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李平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1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共建·共融·共生：数智赋能医学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生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 xml:space="preserve">人文素养教育研究 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8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重点项目</w:t>
            </w:r>
          </w:p>
        </w:tc>
      </w:tr>
      <w:tr w14:paraId="3B0BE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8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RWS20240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B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王刚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 xml:space="preserve">  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2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思政课对医学生人文素养培育</w:t>
            </w:r>
          </w:p>
          <w:p w14:paraId="66E5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的引领路径研究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5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重点项目</w:t>
            </w:r>
          </w:p>
        </w:tc>
      </w:tr>
      <w:tr w14:paraId="09DB7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6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RWS20240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3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沈红敏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B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校园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文化品牌长效育人机制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研究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——以湖北医药学院“好人文化”为例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B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一般项目</w:t>
            </w:r>
          </w:p>
        </w:tc>
      </w:tr>
      <w:tr w14:paraId="736E9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A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RWS20240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0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孙淑伟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4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全周期管理视域下“三个务必”融入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大学生党员教育的路径研究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B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一般项目</w:t>
            </w:r>
          </w:p>
        </w:tc>
      </w:tr>
      <w:tr w14:paraId="3DC48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2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RWS20240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B0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王小燕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A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完善医学生实习实训制度机制研究——以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麻醉学专业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为例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2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一般项目</w:t>
            </w:r>
          </w:p>
        </w:tc>
      </w:tr>
      <w:tr w14:paraId="137D8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B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RWS20240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A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何珺 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B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新时代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地方院校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国家安全教育体系构建研究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9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一般项目</w:t>
            </w:r>
          </w:p>
        </w:tc>
      </w:tr>
      <w:tr w14:paraId="3BA36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9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RWS20240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F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程孟凡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5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基于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嵌入性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理论的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医学生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五育融合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模式研究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C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一般项目</w:t>
            </w:r>
          </w:p>
        </w:tc>
      </w:tr>
      <w:tr w14:paraId="75E32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D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RWS2024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2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潘威霖 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7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“具身+智慧”视域下高校一站式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学生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社区服务优化策略研究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B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一般项目</w:t>
            </w:r>
          </w:p>
        </w:tc>
      </w:tr>
      <w:tr w14:paraId="1B442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E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RWS2024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6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常海访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1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基于新时代爱国主义教育使命的高校 辅导员工作价值向度与实践路径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F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一般项目</w:t>
            </w:r>
          </w:p>
        </w:tc>
      </w:tr>
      <w:tr w14:paraId="6EAE7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9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RWS2024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C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王晶艳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5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基于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发展性德育模式的医学院校德育 模式构建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9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一般项目</w:t>
            </w:r>
          </w:p>
        </w:tc>
      </w:tr>
      <w:tr w14:paraId="1662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E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RWS2024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5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邵文涛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2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地方统战工作存在的问题及对策研究——以武当山特区为例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2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一般项目</w:t>
            </w:r>
          </w:p>
        </w:tc>
      </w:tr>
    </w:tbl>
    <w:p w14:paraId="7296B6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ZjgxZjhhMGMzNWJkZmJhNDBiNWE2YjQ3YjY0YzkifQ=="/>
  </w:docVars>
  <w:rsids>
    <w:rsidRoot w:val="00000000"/>
    <w:rsid w:val="2ADE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2024-11-04T01:39:23Z</dcterms:created>
  <dc:creator>admin</dc:creator>
  <cp:lastModifiedBy>心不在烟</cp:lastModifiedBy>
  <dcterms:modified xsi:type="dcterms:W3CDTF">2024-11-04T01:39:33Z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CA0FB48B206F48C190A0D1BC795E0E17_12</vt:lpwstr>
  </property>
</Properties>
</file>